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jc w:val="center"/>
        <w:outlineLvl w:val="2"/>
        <w:rPr>
          <w:rFonts w:ascii="RobotoMedium" w:hAnsi="RobotoMedium"/>
          <w:color w:val="8AB446"/>
          <w:sz w:val="36"/>
          <w:szCs w:val="36"/>
        </w:rPr>
      </w:pPr>
      <w:r>
        <w:rPr>
          <w:rFonts w:ascii="RobotoBold" w:hAnsi="RobotoBold"/>
          <w:color w:val="8AB446"/>
          <w:sz w:val="36"/>
          <w:szCs w:val="36"/>
        </w:rPr>
        <w:t>Региональная единовременная денежная выплата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НПА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Постановление Губернатора Белгородской области от 03.10.2022 N 171 "О предоставлении региональной единовременной денежной выплаты"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    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Кто имеет право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Граждане Российской Федерации, участники специальной военной операции, проживающие на территории Белгородской области, заключившие первый контракт о прохождении военной службы в Вооруженных Силах Российской Федерации, либо последующий контракт о прохождении военной службы в Вооруженных Силах Российской Федерации после исключения из списков личного состава воинской части, снятия со всех видов обеспечения, либо контракт о добровольном содействии в выполнении задач, возложенных на Вооруженные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Силы Российской Федерации, либо заключившие контракт с организацией, содействующей выполнению задач, возложенных на Вооруженные Силы Российской Федерации, проходящие военную службу по призыву, и мобилизованные граждане, заключившие контракт о прохождении военной службы, сведения о которых представляются в 2024 году военным комиссариатом Белгородской области, в период с 1 августа по 31 декабря 2024 года сроком на один год и более.</w:t>
      </w:r>
      <w:proofErr w:type="gramEnd"/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Размер выплаты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400000 (четыреста тысяч) рублей при заключении контракта с 1 августа 2024 года.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Период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Единовременно и однократно при заключении первого контракта о прохождении военной службы в Вооруженных Силах Российской Федерации не ранее 24 февраля 2022 года, а также 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призванным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на военную службу по мобилизации в Вооруженные Силы Российской Федерации не ранее 24 февраля 2022 года.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Предоставляемые документы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заявление установленного образца;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документ, удостоверяющий личность гражданина, принимающего (принимавшего) участие в специальной военной операции;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документ, удостоверяющий личность заявителя, в случае если за назначением выплаты обращается родственник гражданина, принимающего (принимавшего) участие в специальной военной операции;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номер лицевого счета заявителя, открытый в кредитной организации;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документы, подтверждающие родство с гражданином, принимающим (принимавшим) участие в специальной военной операции (свидетельство о заключении брака, свидетельство о перемене имени, свидетельство о рождении и т.д.);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- документы, подтверждающие участие в специальной военной операции, в том числе справку военного комиссариата, выписку из приказа командира воинской части, копию контракта, выписку из послужного списка, документы, подтверждающие получение ранения, контузии, увечья в ходе участия в специальной военной операции;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- копию контракта (при его наличии) либо иного документа, подтверждающего наличие правоотношений с содействующей организацией, документы, подтверждающие факт выполнения ими задач в ходе специальной военной операции в составе содействующей организации (при наличии), в том числе документы, подтверждающие получение в связи с этим ранения, контузии, увечья или заболевания, реализованный наградной материал (копию орденской книжки (удостоверения к государственной (ведомственной) награде), а также документы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(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сведения), в которых указаны основания награждения) либо копии указанных документов, заверенные в соответствии с законодательством Российской Федерации.</w:t>
      </w:r>
      <w:proofErr w:type="gramEnd"/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lastRenderedPageBreak/>
        <w:t> 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Bold" w:hAnsi="RobotoBold"/>
          <w:color w:val="333333"/>
          <w:sz w:val="21"/>
          <w:szCs w:val="21"/>
        </w:rPr>
        <w:t>Куда обращаться</w:t>
      </w:r>
    </w:p>
    <w:p w:rsidR="00BE3393" w:rsidRDefault="00BE3393" w:rsidP="00BE3393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Управление социальной защиты населения администрации Алексеевского муниципального округа – г. Алексеевска, пл. Победы, д. 75, кабинет № 7     (т. 8(47-234)3-04-40).</w:t>
      </w:r>
    </w:p>
    <w:p w:rsidR="005276B8" w:rsidRDefault="00BE3393">
      <w:bookmarkStart w:id="0" w:name="_GoBack"/>
      <w:bookmarkEnd w:id="0"/>
    </w:p>
    <w:sectPr w:rsidR="0052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BF"/>
    <w:rsid w:val="003007E7"/>
    <w:rsid w:val="00361C77"/>
    <w:rsid w:val="008062BF"/>
    <w:rsid w:val="00B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2024-11-12T14:40:00Z</dcterms:created>
  <dcterms:modified xsi:type="dcterms:W3CDTF">2024-11-12T14:40:00Z</dcterms:modified>
</cp:coreProperties>
</file>