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jc w:val="center"/>
        <w:outlineLvl w:val="2"/>
        <w:rPr>
          <w:rFonts w:ascii="RobotoMedium" w:hAnsi="RobotoMedium"/>
          <w:color w:val="8AB446"/>
          <w:sz w:val="36"/>
          <w:szCs w:val="36"/>
        </w:rPr>
      </w:pPr>
      <w:r>
        <w:rPr>
          <w:rFonts w:ascii="RobotoMedium" w:hAnsi="RobotoMedium"/>
          <w:sz w:val="36"/>
          <w:szCs w:val="36"/>
        </w:rPr>
        <w:t>Ежемесячная денежная выплата на питание каждого ребенка погибшег</w:t>
      </w:r>
      <w:proofErr w:type="gramStart"/>
      <w:r>
        <w:rPr>
          <w:rFonts w:ascii="RobotoMedium" w:hAnsi="RobotoMedium"/>
          <w:sz w:val="36"/>
          <w:szCs w:val="36"/>
        </w:rPr>
        <w:t>о(</w:t>
      </w:r>
      <w:proofErr w:type="gramEnd"/>
      <w:r>
        <w:rPr>
          <w:rFonts w:ascii="RobotoMedium" w:hAnsi="RobotoMedium"/>
          <w:sz w:val="36"/>
          <w:szCs w:val="36"/>
        </w:rPr>
        <w:t>умершего) военнослужащего в возрасте до 18 лет или до 23 лет (при условии обучения в профессиональных образовательных организациях и образовательных организациях высшего профессионального образования по очной форме обучения, за исключением организаций дополнительного профессионального образования) в размере 3 тысяч рублей.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Законные представители детей погибших (умерших) военнослужащих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 .</w:t>
      </w:r>
      <w:proofErr w:type="gramEnd"/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FF0000"/>
          <w:sz w:val="21"/>
          <w:szCs w:val="21"/>
        </w:rPr>
        <w:t> 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Ежемесячная денежная выплата предоставляется в размере 3000 рублей из расчета на каждого из детей погибших (умерших) военнослужащих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Ежемесячная денежная выплата назначается с месяца гибели (смерти) военнослужащего, независимо от даты обращения за выплатой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 .</w:t>
      </w:r>
      <w:proofErr w:type="gramEnd"/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а) документ, удостоверяющий личность заявителя;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б) 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в) свидетельство (справка) о рождении ребенка (детей);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г) справка установленного образца о гибели (смерти) военнослужащего при исполнении обязанностей военной службы (служебных обязанностей) в районах боевых действий;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д) сведения о регистрации по месту жительства заявителя и ребенка (детей) на территории Белгородской области;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е) документ, подтверждающий реквизиты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ж) справка, подтверждающая обучение в профессиональных образовательных организациях и образовательных организациях высшего образования по очной форме обучения, за исключением организаций дополнительного профессионального образования, в случае достижения ребенком возраста 18 лет;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з) копия решения органа опеки и попечительства о назначении опекуна (попечителя) - для опекуна (попечителя).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 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заявлением:</w:t>
      </w:r>
    </w:p>
    <w:p w:rsidR="00E70E61" w:rsidRDefault="00E70E61" w:rsidP="00E70E61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-</w:t>
      </w:r>
      <w:r>
        <w:rPr>
          <w:rFonts w:ascii="RobotoRegular" w:hAnsi="RobotoRegular"/>
          <w:color w:val="333333"/>
          <w:sz w:val="21"/>
          <w:szCs w:val="21"/>
        </w:rPr>
        <w:t> Министерство социальной защиты населения и труда Белгородской области. За предоставлением консультации можно обратиться в Управление социальной защиты населения администрации Алексеевского муниципального округа – г. Алексеевска, пл. Победы, д. 29, кабинет № 1 (т. 8(47-234)3-13-33).</w:t>
      </w:r>
    </w:p>
    <w:p w:rsidR="005276B8" w:rsidRDefault="00E70E61">
      <w:bookmarkStart w:id="0" w:name="_GoBack"/>
      <w:bookmarkEnd w:id="0"/>
    </w:p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70"/>
    <w:rsid w:val="003007E7"/>
    <w:rsid w:val="00361C77"/>
    <w:rsid w:val="004C1C70"/>
    <w:rsid w:val="00E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2024-11-12T14:44:00Z</dcterms:created>
  <dcterms:modified xsi:type="dcterms:W3CDTF">2024-11-12T14:45:00Z</dcterms:modified>
</cp:coreProperties>
</file>